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E917E65" w:rsidR="00AD4C46" w:rsidRPr="000478F6" w:rsidRDefault="009B1B42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July 1</w:t>
                            </w:r>
                            <w:r w:rsidR="001F1FB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214D4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E917E65" w:rsidR="00AD4C46" w:rsidRPr="000478F6" w:rsidRDefault="009B1B42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July 1</w:t>
                      </w:r>
                      <w:r w:rsidR="001F1FB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214D4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086B75" w:rsidP="00AD4C46">
                            <w:pPr>
                              <w:pStyle w:val="ContactInfoUpperLeft"/>
                            </w:pPr>
                            <w:hyperlink r:id="rId8" w:history="1">
                              <w:r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086B75" w:rsidP="00AD4C46">
                      <w:pPr>
                        <w:pStyle w:val="ContactInfoUpperLeft"/>
                      </w:pPr>
                      <w:hyperlink r:id="rId9" w:history="1">
                        <w:r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4895EF99" w:rsidR="00775F51" w:rsidRDefault="009B1B42" w:rsidP="00AD4C46">
      <w:pPr>
        <w:pStyle w:val="Heading1"/>
      </w:pPr>
      <w:r>
        <w:t>2</w:t>
      </w:r>
      <w:r w:rsidRPr="009B1B42">
        <w:rPr>
          <w:vertAlign w:val="superscript"/>
        </w:rPr>
        <w:t>nd</w:t>
      </w:r>
      <w:r>
        <w:t xml:space="preserve"> </w:t>
      </w:r>
      <w:r w:rsidR="0081666B">
        <w:t>Quarter</w:t>
      </w:r>
      <w:r w:rsidR="00EE6F6F">
        <w:t xml:space="preserve"> </w:t>
      </w:r>
      <w:r w:rsidR="00775F51">
        <w:t xml:space="preserve">Home Sales </w:t>
      </w:r>
      <w:r w:rsidR="00737429">
        <w:t>Up A Solid 1</w:t>
      </w:r>
      <w:r w:rsidR="00365D98">
        <w:t>.</w:t>
      </w:r>
      <w:r w:rsidR="00737429">
        <w:t>6</w:t>
      </w:r>
      <w:r w:rsidR="00775F51">
        <w:t>%</w:t>
      </w:r>
    </w:p>
    <w:p w14:paraId="4EFD022F" w14:textId="47E8311F" w:rsidR="00127EF0" w:rsidRPr="00AD4C46" w:rsidRDefault="009B1B42" w:rsidP="00AD4C46">
      <w:pPr>
        <w:pStyle w:val="Heading1"/>
      </w:pPr>
      <w:r>
        <w:t>June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4D52E3">
        <w:t>Leap</w:t>
      </w:r>
      <w:r w:rsidR="00737429">
        <w:t xml:space="preserve"> 1</w:t>
      </w:r>
      <w:r w:rsidR="00B347C2">
        <w:t>3.7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0"/>
        <w:gridCol w:w="1465"/>
      </w:tblGrid>
      <w:tr w:rsidR="00E913B2" w:rsidRPr="002F2B80" w14:paraId="24B40EB5" w14:textId="77777777" w:rsidTr="00E8190F">
        <w:trPr>
          <w:trHeight w:val="360"/>
        </w:trPr>
        <w:tc>
          <w:tcPr>
            <w:tcW w:w="8280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465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2AA4FD63" w14:textId="17981D5A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bookmarkStart w:id="1" w:name="_Hlk195533650"/>
            <w:r>
              <w:rPr>
                <w:sz w:val="24"/>
                <w:szCs w:val="24"/>
              </w:rPr>
              <w:t xml:space="preserve">Sales </w:t>
            </w:r>
            <w:r w:rsidR="00737429">
              <w:rPr>
                <w:sz w:val="24"/>
                <w:szCs w:val="24"/>
              </w:rPr>
              <w:t>Behind 2022 But Hurdled Over 2024</w:t>
            </w:r>
          </w:p>
        </w:tc>
      </w:tr>
      <w:tr w:rsidR="00E302C4" w:rsidRPr="002F2B80" w14:paraId="786D284B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1B827FCA" w14:textId="1D7145CE" w:rsidR="00E302C4" w:rsidRPr="007B1281" w:rsidRDefault="00F418DC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Metro </w:t>
            </w:r>
            <w:r w:rsidRPr="008C345B">
              <w:rPr>
                <w:sz w:val="24"/>
                <w:szCs w:val="24"/>
              </w:rPr>
              <w:t xml:space="preserve">Prices Up </w:t>
            </w:r>
            <w:r w:rsidR="00737429">
              <w:rPr>
                <w:sz w:val="24"/>
                <w:szCs w:val="24"/>
              </w:rPr>
              <w:t>5.4</w:t>
            </w:r>
            <w:r w:rsidRPr="008C345B">
              <w:rPr>
                <w:sz w:val="24"/>
                <w:szCs w:val="24"/>
              </w:rPr>
              <w:t>%</w:t>
            </w:r>
            <w:r w:rsidR="006D54A8">
              <w:rPr>
                <w:sz w:val="24"/>
                <w:szCs w:val="24"/>
              </w:rPr>
              <w:t xml:space="preserve"> </w:t>
            </w:r>
            <w:r w:rsidR="00737429">
              <w:rPr>
                <w:sz w:val="24"/>
                <w:szCs w:val="24"/>
              </w:rPr>
              <w:t xml:space="preserve">Through </w:t>
            </w:r>
            <w:r w:rsidR="006D54A8">
              <w:rPr>
                <w:sz w:val="24"/>
                <w:szCs w:val="24"/>
              </w:rPr>
              <w:t>the Quarter</w:t>
            </w:r>
            <w:r w:rsidRPr="008C345B">
              <w:rPr>
                <w:sz w:val="24"/>
                <w:szCs w:val="24"/>
              </w:rPr>
              <w:t>, Averaging $4</w:t>
            </w:r>
            <w:r>
              <w:rPr>
                <w:sz w:val="24"/>
                <w:szCs w:val="24"/>
              </w:rPr>
              <w:t>5</w:t>
            </w:r>
            <w:r w:rsidR="00737429">
              <w:rPr>
                <w:sz w:val="24"/>
                <w:szCs w:val="24"/>
              </w:rPr>
              <w:t>7</w:t>
            </w:r>
            <w:r w:rsidRPr="008C345B">
              <w:rPr>
                <w:sz w:val="24"/>
                <w:szCs w:val="24"/>
              </w:rPr>
              <w:t>,</w:t>
            </w:r>
            <w:r w:rsidR="00737429">
              <w:rPr>
                <w:sz w:val="24"/>
                <w:szCs w:val="24"/>
              </w:rPr>
              <w:t>573</w:t>
            </w:r>
          </w:p>
        </w:tc>
      </w:tr>
      <w:tr w:rsidR="00E302C4" w:rsidRPr="002F2B80" w14:paraId="07DD8276" w14:textId="77777777" w:rsidTr="00E8190F">
        <w:trPr>
          <w:gridAfter w:val="1"/>
          <w:wAfter w:w="1465" w:type="dxa"/>
          <w:trHeight w:val="360"/>
        </w:trPr>
        <w:tc>
          <w:tcPr>
            <w:tcW w:w="8280" w:type="dxa"/>
            <w:shd w:val="clear" w:color="auto" w:fill="auto"/>
            <w:vAlign w:val="center"/>
          </w:tcPr>
          <w:p w14:paraId="0EAFC321" w14:textId="1071E65E" w:rsidR="00E302C4" w:rsidRPr="002F2B80" w:rsidRDefault="00F0677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Macro-Economic</w:t>
            </w:r>
            <w:r w:rsidR="00F4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Forces Yielding Uncertainty</w:t>
            </w:r>
          </w:p>
        </w:tc>
      </w:tr>
      <w:bookmarkEnd w:id="1"/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D42F0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56E5F0C1" w:rsidR="00B170CC" w:rsidRPr="00627017" w:rsidRDefault="004D52E3" w:rsidP="00B65888">
            <w:pPr>
              <w:spacing w:line="252" w:lineRule="auto"/>
              <w:ind w:left="-105" w:right="-1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B1B42" w:rsidRPr="00D42F01">
              <w:rPr>
                <w:rFonts w:ascii="Arial" w:hAnsi="Arial" w:cs="Arial"/>
                <w:b/>
                <w:sz w:val="22"/>
              </w:rPr>
              <w:t>2</w:t>
            </w:r>
            <w:r w:rsidR="009B1B42" w:rsidRPr="00D42F01">
              <w:rPr>
                <w:rFonts w:ascii="Arial" w:hAnsi="Arial" w:cs="Arial"/>
                <w:b/>
                <w:sz w:val="22"/>
                <w:vertAlign w:val="superscript"/>
              </w:rPr>
              <w:t>nd</w:t>
            </w:r>
            <w:r w:rsidR="00D42F01">
              <w:rPr>
                <w:rFonts w:ascii="Arial" w:hAnsi="Arial" w:cs="Arial"/>
                <w:b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sz w:val="22"/>
              </w:rPr>
              <w:t>Quarter</w:t>
            </w:r>
            <w:r w:rsidR="00B170CC" w:rsidRPr="00D42F01">
              <w:rPr>
                <w:rFonts w:ascii="Arial" w:hAnsi="Arial" w:cs="Arial"/>
                <w:b/>
                <w:sz w:val="22"/>
              </w:rPr>
              <w:t xml:space="preserve"> Sales</w:t>
            </w:r>
            <w:r w:rsidR="00D204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(Jan 1 – 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J</w:t>
            </w:r>
            <w:r w:rsidR="00D42F01">
              <w:rPr>
                <w:rFonts w:ascii="Arial" w:eastAsia="Calibri" w:hAnsi="Arial" w:cs="Arial"/>
                <w:sz w:val="18"/>
                <w:szCs w:val="18"/>
              </w:rPr>
              <w:t>un</w:t>
            </w:r>
            <w:r w:rsidR="00D2044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="00D20441"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B170CC" w:rsidRPr="00627017" w14:paraId="5B14E64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6A6A368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A0E88B3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B1B42" w:rsidRPr="00627017" w14:paraId="2030632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05DB0571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4,687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63A6DC0C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4,568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305F4A5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-2.5%</w:t>
            </w:r>
          </w:p>
        </w:tc>
      </w:tr>
      <w:tr w:rsidR="009B1B42" w:rsidRPr="00627017" w14:paraId="476C4D87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5A75E0DD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2,027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B30ED68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2,200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5AD9F08A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9B1B42" w:rsidRPr="00627017" w14:paraId="7C64D00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3C55B604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726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F2F767C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768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730CD294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5.8%</w:t>
            </w:r>
          </w:p>
        </w:tc>
      </w:tr>
      <w:tr w:rsidR="009B1B42" w:rsidRPr="00627017" w14:paraId="73B88858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287A8596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492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296F0639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525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133A1182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6.7%</w:t>
            </w:r>
          </w:p>
        </w:tc>
      </w:tr>
      <w:tr w:rsidR="009B1B42" w:rsidRPr="00627017" w14:paraId="29367927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2A89BDF" w:rsidR="009B1B42" w:rsidRPr="00D42F01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7,932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71B94346" w:rsidR="009B1B42" w:rsidRPr="00D42F01" w:rsidRDefault="009B1B42" w:rsidP="009B1B42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8,061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7CB521C5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</w:tr>
      <w:tr w:rsidR="00593670" w:rsidRPr="00627017" w14:paraId="0DD73203" w14:textId="77777777" w:rsidTr="00D42F01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D42F01" w:rsidRDefault="00593670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B42" w:rsidRPr="00627017" w14:paraId="4DB026E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4168D92D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2AAC4AAA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482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0D9B5630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503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6B772B0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</w:tr>
      <w:tr w:rsidR="009B1B42" w:rsidRPr="00627017" w14:paraId="509D9972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10CFD9AB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7A99F3CF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1,033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3C2FF0F4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1,086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087CA888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5.1%</w:t>
            </w:r>
          </w:p>
        </w:tc>
      </w:tr>
      <w:tr w:rsidR="009B1B42" w:rsidRPr="00627017" w14:paraId="42ECBD06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009CF0EA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68102769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799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0A580" w14:textId="70F229C3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749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4AA724BA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-6.3%</w:t>
            </w:r>
          </w:p>
        </w:tc>
      </w:tr>
      <w:tr w:rsidR="009B1B42" w:rsidRPr="00627017" w14:paraId="122A5C4D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2D9046A0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371F3AC5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CD5939B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641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62B4F9E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-0.9%</w:t>
            </w:r>
          </w:p>
        </w:tc>
      </w:tr>
      <w:tr w:rsidR="009B1B42" w:rsidRPr="00627017" w14:paraId="199EA85E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78D0" w14:textId="2E24EC1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A665" w14:textId="493FFED0" w:rsidR="009B1B42" w:rsidRPr="00D42F01" w:rsidRDefault="009B1B42" w:rsidP="009B1B42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10,893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24608" w14:textId="42914C2C" w:rsidR="009B1B42" w:rsidRPr="00D42F01" w:rsidRDefault="009B1B42" w:rsidP="009B1B42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11,040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9CD6" w14:textId="5B24147E" w:rsidR="009B1B42" w:rsidRPr="00D42F01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1.3%</w:t>
            </w:r>
          </w:p>
        </w:tc>
      </w:tr>
      <w:tr w:rsidR="00627017" w:rsidRPr="00627017" w14:paraId="2A2218DE" w14:textId="77777777" w:rsidTr="00D42F01">
        <w:trPr>
          <w:trHeight w:val="144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D42F0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097AC935" w:rsidR="00F264CF" w:rsidRPr="00D42F01" w:rsidRDefault="009B1B42" w:rsidP="00E749C3">
            <w:pPr>
              <w:spacing w:line="252" w:lineRule="auto"/>
              <w:ind w:left="-105" w:right="-15"/>
              <w:rPr>
                <w:rFonts w:ascii="Arial" w:hAnsi="Arial" w:cs="Arial"/>
                <w:sz w:val="22"/>
              </w:rPr>
            </w:pPr>
            <w:r w:rsidRPr="00D42F01">
              <w:rPr>
                <w:rFonts w:ascii="Arial" w:hAnsi="Arial" w:cs="Arial"/>
                <w:b/>
                <w:bCs/>
                <w:sz w:val="22"/>
              </w:rPr>
              <w:t>June</w:t>
            </w:r>
            <w:r w:rsidR="00F264CF" w:rsidRPr="00D42F0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D05F0" w:rsidRPr="00D42F01">
              <w:rPr>
                <w:rFonts w:ascii="Arial" w:hAnsi="Arial" w:cs="Arial"/>
                <w:b/>
                <w:bCs/>
                <w:sz w:val="22"/>
              </w:rPr>
              <w:t>Sale</w:t>
            </w:r>
            <w:r w:rsidR="00043760" w:rsidRPr="00D42F01">
              <w:rPr>
                <w:rFonts w:ascii="Arial" w:hAnsi="Arial" w:cs="Arial"/>
                <w:b/>
                <w:bCs/>
                <w:sz w:val="22"/>
              </w:rPr>
              <w:t>s</w:t>
            </w:r>
          </w:p>
        </w:tc>
      </w:tr>
      <w:tr w:rsidR="00513B1A" w:rsidRPr="00627017" w14:paraId="41B9A98A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45ACC8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4708A7DF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9F28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9B1B42" w:rsidRPr="00627017" w14:paraId="1AA23907" w14:textId="77777777" w:rsidTr="00D42F01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112F32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63139" w14:textId="34194A7D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FA7B2" w14:textId="6B6A8F1D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40DE" w14:textId="35FFEC34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10.3%</w:t>
            </w:r>
          </w:p>
        </w:tc>
      </w:tr>
      <w:tr w:rsidR="009B1B42" w:rsidRPr="00627017" w14:paraId="57BCDE15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A2A5A43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930A4" w14:textId="226740EA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89B2F76" w14:textId="113BCB34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478C224" w14:textId="1EA78A19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20.7%</w:t>
            </w:r>
          </w:p>
        </w:tc>
      </w:tr>
      <w:tr w:rsidR="009B1B42" w:rsidRPr="00627017" w14:paraId="355A5DBE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BC528FC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2F775" w14:textId="2D92642A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890D5" w14:textId="3EB517DC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1152" w14:textId="5F2744B3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2.5%</w:t>
            </w:r>
          </w:p>
        </w:tc>
      </w:tr>
      <w:tr w:rsidR="009B1B42" w:rsidRPr="00627017" w14:paraId="64E87CC5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4DF0D63F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AC7B0" w14:textId="6D534DAF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32E30A01" w14:textId="1229C49A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B039E9B" w14:textId="19EBDE01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21.6%</w:t>
            </w:r>
          </w:p>
        </w:tc>
      </w:tr>
      <w:tr w:rsidR="009B1B42" w:rsidRPr="00627017" w14:paraId="45CEE296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7A275E9B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9C3C" w14:textId="71208B56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732E" w14:textId="54EE5494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AB64" w14:textId="7908AB1B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13.7%</w:t>
            </w:r>
          </w:p>
        </w:tc>
      </w:tr>
      <w:tr w:rsidR="009B1B42" w:rsidRPr="00627017" w14:paraId="619B4396" w14:textId="77777777" w:rsidTr="00D42F01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5C992EAE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9B1B42" w:rsidRPr="00627017" w14:paraId="6862758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608FCDDF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516A" w14:textId="485D99F8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84A6E" w14:textId="7BDB1382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1BC8" w14:textId="7248DB4A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9B1B42" w:rsidRPr="00627017" w14:paraId="43BFC7D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6F4B9541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7F665" w14:textId="28357EF5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3559378" w14:textId="664A3408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5074A72" w14:textId="6C5BE268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15.2%</w:t>
            </w:r>
          </w:p>
        </w:tc>
      </w:tr>
      <w:tr w:rsidR="009B1B42" w:rsidRPr="00627017" w14:paraId="74C7B9C3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37FC6789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2E2C3" w14:textId="1243DE71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2C9D9" w14:textId="6DD5A396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701C" w14:textId="4A721711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-1.8%</w:t>
            </w:r>
          </w:p>
        </w:tc>
      </w:tr>
      <w:tr w:rsidR="009B1B42" w:rsidRPr="00627017" w14:paraId="719D3710" w14:textId="77777777" w:rsidTr="00D42F0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13860387" w:rsidR="009B1B42" w:rsidRPr="00627017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520C1" w14:textId="5E3BCA0F" w:rsidR="009B1B42" w:rsidRPr="00627017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0F38483E" w14:textId="08208C3C" w:rsidR="009B1B42" w:rsidRPr="00627017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383D86" w14:textId="072B67FA" w:rsidR="009B1B42" w:rsidRPr="00627017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10.7%</w:t>
            </w:r>
          </w:p>
        </w:tc>
      </w:tr>
      <w:tr w:rsidR="009B1B42" w:rsidRPr="00627017" w14:paraId="72FD5738" w14:textId="77777777" w:rsidTr="00D42F0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7451" w14:textId="542B4A21" w:rsidR="009B1B42" w:rsidRDefault="009B1B42" w:rsidP="009B1B42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EAF2" w14:textId="67104FAF" w:rsidR="009B1B42" w:rsidRDefault="009B1B42" w:rsidP="009B1B42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FFD24" w14:textId="40D42EC1" w:rsidR="009B1B42" w:rsidRDefault="009B1B42" w:rsidP="009B1B42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F1389" w14:textId="2B4C4D37" w:rsidR="009B1B42" w:rsidRDefault="009B1B42" w:rsidP="009B1B42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1BC98FD0" w14:textId="45CF68B6" w:rsidR="004204E0" w:rsidRDefault="0077154C" w:rsidP="00F84C72">
      <w:r w:rsidRPr="0077154C">
        <w:t xml:space="preserve">Home sales in the Metropolitan Milwaukee market </w:t>
      </w:r>
      <w:r w:rsidR="004204E0">
        <w:t xml:space="preserve">finished </w:t>
      </w:r>
      <w:r w:rsidR="00F418DC">
        <w:t xml:space="preserve">the </w:t>
      </w:r>
      <w:r w:rsidR="009B1B42">
        <w:t>2</w:t>
      </w:r>
      <w:r w:rsidR="009B1B42" w:rsidRPr="00737429">
        <w:rPr>
          <w:vertAlign w:val="superscript"/>
        </w:rPr>
        <w:t>nd</w:t>
      </w:r>
      <w:r w:rsidR="00737429">
        <w:t xml:space="preserve"> </w:t>
      </w:r>
      <w:r w:rsidR="00F418DC">
        <w:t xml:space="preserve">quarter of the year </w:t>
      </w:r>
      <w:r w:rsidR="00737429">
        <w:t>up 1.6</w:t>
      </w:r>
      <w:r w:rsidR="00F418DC">
        <w:t>%</w:t>
      </w:r>
      <w:r w:rsidR="00737429">
        <w:t xml:space="preserve"> over the same period in 2024. </w:t>
      </w:r>
    </w:p>
    <w:p w14:paraId="51259630" w14:textId="77777777" w:rsidR="004204E0" w:rsidRDefault="004204E0" w:rsidP="00F84C72"/>
    <w:p w14:paraId="322D87D4" w14:textId="379361BE" w:rsidR="004204E0" w:rsidRDefault="00151841" w:rsidP="00F84C72">
      <w:r>
        <w:t xml:space="preserve">June, however, </w:t>
      </w:r>
      <w:r w:rsidR="00F418DC">
        <w:t>jump</w:t>
      </w:r>
      <w:r>
        <w:t xml:space="preserve">ed 13.7% from a year earlier. That is </w:t>
      </w:r>
      <w:r w:rsidR="00465A20">
        <w:t>a sizable increase</w:t>
      </w:r>
      <w:r>
        <w:t xml:space="preserve"> but less so when put in</w:t>
      </w:r>
      <w:r w:rsidR="00AA29A8">
        <w:t xml:space="preserve">to </w:t>
      </w:r>
      <w:r w:rsidR="004D52E3">
        <w:t xml:space="preserve">larger </w:t>
      </w:r>
      <w:r>
        <w:t xml:space="preserve">context. </w:t>
      </w:r>
    </w:p>
    <w:p w14:paraId="1A6EA29F" w14:textId="77777777" w:rsidR="00151841" w:rsidRDefault="00151841" w:rsidP="00F84C72"/>
    <w:p w14:paraId="03356315" w14:textId="1D259897" w:rsidR="00151841" w:rsidRDefault="00151841" w:rsidP="0096778F">
      <w:r>
        <w:t>Sales slumped beginning in mid-</w:t>
      </w:r>
      <w:r w:rsidR="00465A20">
        <w:t>2022 when</w:t>
      </w:r>
      <w:r>
        <w:t xml:space="preserve"> </w:t>
      </w:r>
      <w:r w:rsidR="0096778F">
        <w:t>interest rates increased from historic lows to over 6%</w:t>
      </w:r>
      <w:r>
        <w:t>. Since that time, the market has been fairly anemic</w:t>
      </w:r>
      <w:r w:rsidR="00AA29A8">
        <w:t xml:space="preserve">. </w:t>
      </w:r>
      <w:proofErr w:type="gramStart"/>
      <w:r w:rsidR="00AA29A8">
        <w:t>S</w:t>
      </w:r>
      <w:r>
        <w:t>o</w:t>
      </w:r>
      <w:proofErr w:type="gramEnd"/>
      <w:r>
        <w:t xml:space="preserve"> June’s 1,840 unit sales, while welcome, </w:t>
      </w:r>
      <w:r w:rsidR="00EC6CB8">
        <w:t>are</w:t>
      </w:r>
      <w:r>
        <w:t xml:space="preserve"> well behind June 2022’s 2,230 units.</w:t>
      </w:r>
    </w:p>
    <w:p w14:paraId="0F6E4760" w14:textId="77777777" w:rsidR="0096778F" w:rsidRDefault="0096778F" w:rsidP="00F84C72"/>
    <w:p w14:paraId="492DEC81" w14:textId="7C6B827E" w:rsidR="004204E0" w:rsidRDefault="00D215B6" w:rsidP="00F84C72">
      <w:r>
        <w:t>Usually when sales decrease it’s due to macro-economic forces</w:t>
      </w:r>
      <w:r w:rsidR="00AA29A8">
        <w:t>, and supply actually increases because buyers are not active.</w:t>
      </w:r>
      <w:r>
        <w:t xml:space="preserve"> For example, when a recession causes unemployment to rise</w:t>
      </w:r>
      <w:r w:rsidR="00AA29A8">
        <w:t xml:space="preserve"> – fewer people are buying </w:t>
      </w:r>
      <w:r w:rsidR="00465A20">
        <w:t>houses,</w:t>
      </w:r>
      <w:r w:rsidR="00AA29A8">
        <w:t xml:space="preserve"> and more are selling. Th</w:t>
      </w:r>
      <w:r w:rsidR="004D52E3">
        <w:t xml:space="preserve">e current </w:t>
      </w:r>
      <w:r w:rsidR="00AA29A8">
        <w:t>sales slump is not a boon to buyers, however. It is purely a supply-side creation.</w:t>
      </w:r>
    </w:p>
    <w:p w14:paraId="5E9D850F" w14:textId="77777777" w:rsidR="00D215B6" w:rsidRDefault="00D215B6" w:rsidP="00F84C72"/>
    <w:p w14:paraId="5D91E325" w14:textId="135B3CB7" w:rsidR="001F1FB1" w:rsidRDefault="00D215B6" w:rsidP="00F84C72">
      <w:r>
        <w:t xml:space="preserve">In today’s market there are plenty of buyers, but they are chasing too few listings. We can tell that by looking at the level of inventory and new listings. In </w:t>
      </w:r>
      <w:r w:rsidR="00465A20">
        <w:t>June,</w:t>
      </w:r>
      <w:r>
        <w:t xml:space="preserve"> the market </w:t>
      </w:r>
      <w:r w:rsidR="00A554A1">
        <w:t>added 2,209</w:t>
      </w:r>
      <w:r>
        <w:t xml:space="preserve"> </w:t>
      </w:r>
      <w:r w:rsidR="00A554A1">
        <w:t xml:space="preserve">units to the </w:t>
      </w:r>
      <w:r w:rsidR="00EC6CB8">
        <w:t>four</w:t>
      </w:r>
      <w:r w:rsidR="00A554A1">
        <w:t xml:space="preserve">-county market. Those units, plus the existing units carried over from previous </w:t>
      </w:r>
    </w:p>
    <w:tbl>
      <w:tblPr>
        <w:tblpPr w:leftFromText="288" w:rightFromText="72" w:bottomFromText="115" w:vertAnchor="text" w:horzAnchor="margin" w:tblpXSpec="right" w:tblpY="65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</w:tblGrid>
      <w:tr w:rsidR="001F1FB1" w:rsidRPr="00D42F01" w14:paraId="3792A90D" w14:textId="77777777" w:rsidTr="001F1FB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EE1D" w14:textId="4E521100" w:rsidR="001F1FB1" w:rsidRPr="00D42F01" w:rsidRDefault="004D52E3" w:rsidP="001F1FB1">
            <w:pPr>
              <w:spacing w:line="252" w:lineRule="auto"/>
              <w:ind w:left="-105" w:right="-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="001F1FB1" w:rsidRPr="00D42F01">
              <w:rPr>
                <w:rFonts w:ascii="Arial" w:hAnsi="Arial" w:cs="Arial"/>
                <w:b/>
                <w:bCs/>
                <w:sz w:val="22"/>
              </w:rPr>
              <w:t>2</w:t>
            </w:r>
            <w:r w:rsidR="001F1FB1" w:rsidRPr="00D42F01">
              <w:rPr>
                <w:rFonts w:ascii="Arial" w:hAnsi="Arial" w:cs="Arial"/>
                <w:b/>
                <w:bCs/>
                <w:sz w:val="22"/>
                <w:vertAlign w:val="superscript"/>
              </w:rPr>
              <w:t>nd</w:t>
            </w:r>
            <w:r w:rsidR="001F1FB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1F1FB1" w:rsidRPr="00D42F01">
              <w:rPr>
                <w:rFonts w:ascii="Arial" w:hAnsi="Arial" w:cs="Arial"/>
                <w:b/>
                <w:bCs/>
                <w:sz w:val="22"/>
              </w:rPr>
              <w:t xml:space="preserve">Quarter </w:t>
            </w:r>
            <w:r w:rsidR="001F1FB1" w:rsidRPr="00D42F01">
              <w:rPr>
                <w:rFonts w:ascii="Arial" w:hAnsi="Arial" w:cs="Arial"/>
                <w:b/>
                <w:sz w:val="22"/>
              </w:rPr>
              <w:t>Listings</w:t>
            </w:r>
            <w:r w:rsidR="001F1FB1" w:rsidRPr="00D42F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1F1FB1" w:rsidRPr="00D42F01">
              <w:rPr>
                <w:rFonts w:ascii="Arial" w:eastAsia="Calibri" w:hAnsi="Arial" w:cs="Arial"/>
                <w:bCs/>
                <w:sz w:val="18"/>
                <w:szCs w:val="18"/>
              </w:rPr>
              <w:t>(Jan 1 – Jun 30)</w:t>
            </w:r>
          </w:p>
        </w:tc>
      </w:tr>
      <w:tr w:rsidR="001F1FB1" w:rsidRPr="00D42F01" w14:paraId="60A0B009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106C1B63" w14:textId="77777777" w:rsidR="001F1FB1" w:rsidRPr="00D42F01" w:rsidRDefault="001F1FB1" w:rsidP="001F1FB1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5944" w14:textId="77777777" w:rsidR="001F1FB1" w:rsidRPr="00D42F01" w:rsidRDefault="001F1FB1" w:rsidP="001F1FB1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574C" w14:textId="77777777" w:rsidR="001F1FB1" w:rsidRPr="00D42F01" w:rsidRDefault="001F1FB1" w:rsidP="001F1FB1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875F764" w14:textId="77777777" w:rsidR="001F1FB1" w:rsidRPr="00D42F01" w:rsidRDefault="001F1FB1" w:rsidP="001F1FB1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F1FB1" w:rsidRPr="00D42F01" w14:paraId="5E0C72A2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3B17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175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6,212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26E0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6,411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0C09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3.2%</w:t>
            </w:r>
          </w:p>
        </w:tc>
      </w:tr>
      <w:tr w:rsidR="001F1FB1" w:rsidRPr="00D42F01" w14:paraId="1151B17B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A7FD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6769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2,814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DA18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3,026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0E9B857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7.5%</w:t>
            </w:r>
          </w:p>
        </w:tc>
      </w:tr>
      <w:tr w:rsidR="001F1FB1" w:rsidRPr="00D42F01" w14:paraId="280972FD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874A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DFED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1,012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49DC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1,036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950B2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2.4%</w:t>
            </w:r>
          </w:p>
        </w:tc>
      </w:tr>
      <w:tr w:rsidR="001F1FB1" w:rsidRPr="00D42F01" w14:paraId="781EE484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21D7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E4FB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659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7403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693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E875043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5.2%</w:t>
            </w:r>
          </w:p>
        </w:tc>
      </w:tr>
      <w:tr w:rsidR="001F1FB1" w:rsidRPr="00D42F01" w14:paraId="5A697C59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9569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C7EC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10,697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55FE" w14:textId="77777777" w:rsidR="001F1FB1" w:rsidRPr="00D42F01" w:rsidRDefault="001F1FB1" w:rsidP="001F1FB1">
            <w:pPr>
              <w:spacing w:line="252" w:lineRule="auto"/>
              <w:ind w:right="-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11,166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C007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</w:tr>
      <w:tr w:rsidR="001F1FB1" w:rsidRPr="00D42F01" w14:paraId="376E7D28" w14:textId="77777777" w:rsidTr="001F1FB1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37D4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B1" w:rsidRPr="00D42F01" w14:paraId="44991F95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9C4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9CB4" w14:textId="77777777" w:rsidR="001F1FB1" w:rsidRPr="00D42F01" w:rsidRDefault="001F1FB1" w:rsidP="001F1FB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542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5737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564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D12B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4.1%</w:t>
            </w:r>
          </w:p>
        </w:tc>
      </w:tr>
      <w:tr w:rsidR="001F1FB1" w:rsidRPr="00D42F01" w14:paraId="56411D4F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837A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ABD3" w14:textId="77777777" w:rsidR="001F1FB1" w:rsidRPr="00D42F01" w:rsidRDefault="001F1FB1" w:rsidP="001F1FB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1,367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B918297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1,483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84B9288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</w:tr>
      <w:tr w:rsidR="001F1FB1" w:rsidRPr="00D42F01" w14:paraId="798C0731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387E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F69E" w14:textId="77777777" w:rsidR="001F1FB1" w:rsidRPr="00D42F01" w:rsidRDefault="001F1FB1" w:rsidP="001F1FB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1,063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D1C2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998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C875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-6.1%</w:t>
            </w:r>
          </w:p>
        </w:tc>
      </w:tr>
      <w:tr w:rsidR="001F1FB1" w:rsidRPr="00D42F01" w14:paraId="3AA339DE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E913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4490" w14:textId="77777777" w:rsidR="001F1FB1" w:rsidRPr="00D42F01" w:rsidRDefault="001F1FB1" w:rsidP="001F1FB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1,022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A0106CE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1,070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6ED30B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4.7%</w:t>
            </w:r>
          </w:p>
        </w:tc>
      </w:tr>
      <w:tr w:rsidR="001F1FB1" w:rsidRPr="00D42F01" w14:paraId="07D6735D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D091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920" w14:textId="77777777" w:rsidR="001F1FB1" w:rsidRPr="00D42F01" w:rsidRDefault="001F1FB1" w:rsidP="001F1FB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14,691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CDC148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 xml:space="preserve"> 15,281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CD23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4.0%</w:t>
            </w:r>
          </w:p>
        </w:tc>
      </w:tr>
      <w:tr w:rsidR="001F1FB1" w:rsidRPr="00D42F01" w14:paraId="2CDBF96E" w14:textId="77777777" w:rsidTr="001F1FB1">
        <w:trPr>
          <w:trHeight w:val="144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5A60" w14:textId="77777777" w:rsidR="001F1FB1" w:rsidRPr="00D42F01" w:rsidRDefault="001F1FB1" w:rsidP="001F1FB1">
            <w:pPr>
              <w:spacing w:line="252" w:lineRule="auto"/>
              <w:ind w:right="19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1FB1" w:rsidRPr="00D42F01" w14:paraId="349E3BEC" w14:textId="77777777" w:rsidTr="001F1FB1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C1A9" w14:textId="77777777" w:rsidR="001F1FB1" w:rsidRPr="00D42F01" w:rsidRDefault="001F1FB1" w:rsidP="001F1FB1">
            <w:pPr>
              <w:spacing w:line="252" w:lineRule="auto"/>
              <w:ind w:left="-105" w:right="-90"/>
              <w:rPr>
                <w:rFonts w:ascii="Arial" w:hAnsi="Arial" w:cs="Arial"/>
                <w:sz w:val="22"/>
              </w:rPr>
            </w:pPr>
            <w:r w:rsidRPr="00D42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2F01">
              <w:rPr>
                <w:rFonts w:ascii="Arial" w:hAnsi="Arial" w:cs="Arial"/>
                <w:b/>
                <w:bCs/>
                <w:sz w:val="22"/>
              </w:rPr>
              <w:t>June Listings</w:t>
            </w:r>
          </w:p>
        </w:tc>
      </w:tr>
      <w:tr w:rsidR="001F1FB1" w:rsidRPr="00D42F01" w14:paraId="7EE6D36B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AA2C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20DE" w14:textId="77777777" w:rsidR="001F1FB1" w:rsidRPr="00D42F01" w:rsidRDefault="001F1FB1" w:rsidP="001F1FB1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10C7B80C" w14:textId="77777777" w:rsidR="001F1FB1" w:rsidRPr="00D42F01" w:rsidRDefault="001F1FB1" w:rsidP="001F1FB1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58EC5E34" w14:textId="77777777" w:rsidR="001F1FB1" w:rsidRPr="00D42F01" w:rsidRDefault="001F1FB1" w:rsidP="001F1FB1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1F1FB1" w:rsidRPr="00D42F01" w14:paraId="5F3653B8" w14:textId="77777777" w:rsidTr="001F1FB1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AA9A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2C42A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6096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58D3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14.8%</w:t>
            </w:r>
          </w:p>
        </w:tc>
      </w:tr>
      <w:tr w:rsidR="001F1FB1" w:rsidRPr="00D42F01" w14:paraId="579E4594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951B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30FCA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67819032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085C9DE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7.4%</w:t>
            </w:r>
          </w:p>
        </w:tc>
      </w:tr>
      <w:tr w:rsidR="001F1FB1" w:rsidRPr="00D42F01" w14:paraId="105808D5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2963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0A703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3F53B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3BBC9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-6.8%</w:t>
            </w:r>
          </w:p>
        </w:tc>
      </w:tr>
      <w:tr w:rsidR="001F1FB1" w:rsidRPr="00D42F01" w14:paraId="76EF01E0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7BC5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3E45E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14:paraId="58CCE601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7A097DE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14.9%</w:t>
            </w:r>
          </w:p>
        </w:tc>
      </w:tr>
      <w:tr w:rsidR="001F1FB1" w:rsidRPr="00D42F01" w14:paraId="7B225F64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F399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0CEB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1,987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1997E" w14:textId="77777777" w:rsidR="001F1FB1" w:rsidRPr="00D42F01" w:rsidRDefault="001F1FB1" w:rsidP="001F1FB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5602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11.2%</w:t>
            </w:r>
          </w:p>
        </w:tc>
      </w:tr>
      <w:tr w:rsidR="001F1FB1" w:rsidRPr="00D42F01" w14:paraId="0C490558" w14:textId="77777777" w:rsidTr="001F1FB1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8945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1FB1" w:rsidRPr="00D42F01" w14:paraId="2618AAE2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C62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Sheboygan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DFD61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E3CCB" w14:textId="77777777" w:rsidR="001F1FB1" w:rsidRPr="00D42F01" w:rsidRDefault="001F1FB1" w:rsidP="001F1FB1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0752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1.7%</w:t>
            </w:r>
          </w:p>
        </w:tc>
      </w:tr>
      <w:tr w:rsidR="001F1FB1" w:rsidRPr="00D42F01" w14:paraId="30E8CABC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6EA1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0D7C0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32E1C29C" w14:textId="77777777" w:rsidR="001F1FB1" w:rsidRPr="00D42F01" w:rsidRDefault="001F1FB1" w:rsidP="001F1FB1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19F396B1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3.5%</w:t>
            </w:r>
          </w:p>
        </w:tc>
      </w:tr>
      <w:tr w:rsidR="001F1FB1" w:rsidRPr="00D42F01" w14:paraId="65A32F58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E3E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A6976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C8DF0" w14:textId="77777777" w:rsidR="001F1FB1" w:rsidRPr="00D42F01" w:rsidRDefault="001F1FB1" w:rsidP="001F1FB1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0143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-5.9%</w:t>
            </w:r>
          </w:p>
        </w:tc>
      </w:tr>
      <w:tr w:rsidR="001F1FB1" w:rsidRPr="00D42F01" w14:paraId="058EE0DD" w14:textId="77777777" w:rsidTr="001F1FB1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322A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D3E04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14:paraId="2D40E13E" w14:textId="77777777" w:rsidR="001F1FB1" w:rsidRPr="00D42F01" w:rsidRDefault="001F1FB1" w:rsidP="001F1FB1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D0DCD6F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20.9%</w:t>
            </w:r>
          </w:p>
        </w:tc>
      </w:tr>
      <w:tr w:rsidR="001F1FB1" w:rsidRPr="00D42F01" w14:paraId="270AF13E" w14:textId="77777777" w:rsidTr="001F1FB1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20FA" w14:textId="77777777" w:rsidR="001F1FB1" w:rsidRPr="00D42F01" w:rsidRDefault="001F1FB1" w:rsidP="001F1FB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F47B" w14:textId="77777777" w:rsidR="001F1FB1" w:rsidRPr="00D42F01" w:rsidRDefault="001F1FB1" w:rsidP="001F1FB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2,763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EE79" w14:textId="77777777" w:rsidR="001F1FB1" w:rsidRPr="00D42F01" w:rsidRDefault="001F1FB1" w:rsidP="001F1FB1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color w:val="000000"/>
                <w:sz w:val="20"/>
                <w:szCs w:val="20"/>
              </w:rPr>
              <w:t>3,021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A5EFD" w14:textId="77777777" w:rsidR="001F1FB1" w:rsidRPr="00D42F01" w:rsidRDefault="001F1FB1" w:rsidP="001F1FB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F01">
              <w:rPr>
                <w:rFonts w:ascii="Arial" w:hAnsi="Arial" w:cs="Arial"/>
                <w:sz w:val="20"/>
                <w:szCs w:val="20"/>
              </w:rPr>
              <w:t>9.3%</w:t>
            </w:r>
          </w:p>
        </w:tc>
      </w:tr>
    </w:tbl>
    <w:p w14:paraId="7E2DFEC8" w14:textId="2334CD3E" w:rsidR="00D215B6" w:rsidRDefault="00A554A1" w:rsidP="00F84C72">
      <w:r>
        <w:t>months brought the total available up to 4,443 units. That only provides 3.2 months of inventory. Ideally</w:t>
      </w:r>
      <w:r w:rsidR="00EC6CB8">
        <w:t>,</w:t>
      </w:r>
      <w:r>
        <w:t xml:space="preserve"> we would like to have around </w:t>
      </w:r>
      <w:r w:rsidR="00EC6CB8">
        <w:t>six</w:t>
      </w:r>
      <w:r>
        <w:t xml:space="preserve"> months of inventory. </w:t>
      </w:r>
    </w:p>
    <w:p w14:paraId="06847DE8" w14:textId="31D89745" w:rsidR="00FC4D4B" w:rsidRDefault="00FC4D4B" w:rsidP="00F84C72"/>
    <w:p w14:paraId="6EA3B262" w14:textId="5651F4D3" w:rsidR="00A554A1" w:rsidRDefault="00A554A1" w:rsidP="00F84C72">
      <w:r>
        <w:t>To get to a “balanced market” with six months of inventory, we would need an additional 3,910 units available to sell.</w:t>
      </w:r>
      <w:r w:rsidR="00AA29A8">
        <w:t xml:space="preserve"> </w:t>
      </w:r>
    </w:p>
    <w:p w14:paraId="675D41E7" w14:textId="77777777" w:rsidR="00AA29A8" w:rsidRDefault="00AA29A8" w:rsidP="00F84C72"/>
    <w:p w14:paraId="07724636" w14:textId="2EAC9515" w:rsidR="00AA29A8" w:rsidRDefault="00AA29A8" w:rsidP="00F84C72">
      <w:r>
        <w:t>Thus far in 2025 the market average for new listings is 1,818 units per month. That is a significant deficit to overcome.</w:t>
      </w:r>
    </w:p>
    <w:p w14:paraId="157E7886" w14:textId="77777777" w:rsidR="00A554A1" w:rsidRDefault="00A554A1" w:rsidP="00F84C72"/>
    <w:p w14:paraId="3F7E52C8" w14:textId="2A3EFAEE" w:rsidR="00662485" w:rsidRDefault="006626BD" w:rsidP="008C345B">
      <w:r>
        <w:t>Th</w:t>
      </w:r>
      <w:r w:rsidR="001F1FB1">
        <w:t xml:space="preserve">e demand side of the equation is </w:t>
      </w:r>
      <w:r>
        <w:t xml:space="preserve">a </w:t>
      </w:r>
      <w:r w:rsidR="001F1FB1">
        <w:t xml:space="preserve">circumstance of </w:t>
      </w:r>
      <w:r>
        <w:t xml:space="preserve">generational </w:t>
      </w:r>
      <w:r w:rsidR="001F1FB1">
        <w:t>pressures as</w:t>
      </w:r>
      <w:r>
        <w:t xml:space="preserve"> Millennial and Gen Z first-time </w:t>
      </w:r>
      <w:r w:rsidR="00662485">
        <w:t xml:space="preserve">buyers </w:t>
      </w:r>
      <w:r w:rsidR="001F1FB1">
        <w:t xml:space="preserve">compete with </w:t>
      </w:r>
      <w:r>
        <w:t xml:space="preserve">Baby Boomer </w:t>
      </w:r>
      <w:r w:rsidR="00662485">
        <w:t>Empty Nesters</w:t>
      </w:r>
      <w:r>
        <w:t xml:space="preserve"> in the market at the same time</w:t>
      </w:r>
      <w:r w:rsidR="00662485">
        <w:t>.</w:t>
      </w:r>
    </w:p>
    <w:p w14:paraId="78AC26E6" w14:textId="77777777" w:rsidR="0077154C" w:rsidRDefault="0077154C" w:rsidP="00F84C72"/>
    <w:p w14:paraId="4B4257CB" w14:textId="4B72EE5A" w:rsidR="008C345B" w:rsidRDefault="008C345B" w:rsidP="00D46FAC">
      <w:r>
        <w:t>The only way to meet demand and ease price pressure is to increase n</w:t>
      </w:r>
      <w:r w:rsidR="00D46FAC" w:rsidRPr="00C434EA">
        <w:t>ew construction</w:t>
      </w:r>
      <w:r>
        <w:t>, which</w:t>
      </w:r>
      <w:r w:rsidR="00D46FAC" w:rsidRPr="00C434EA">
        <w:t xml:space="preserve"> would normally add 3,000 - 4,000 units </w:t>
      </w:r>
      <w:r w:rsidR="00D46FAC" w:rsidRPr="00A55625">
        <w:t xml:space="preserve">to the </w:t>
      </w:r>
      <w:r w:rsidR="00815BC2" w:rsidRPr="00A55625">
        <w:t xml:space="preserve">metropolitan </w:t>
      </w:r>
      <w:r w:rsidR="00D46FAC" w:rsidRPr="00A55625">
        <w:t>market annually</w:t>
      </w:r>
      <w:r w:rsidRPr="00A55625">
        <w:t xml:space="preserve">. </w:t>
      </w:r>
      <w:r w:rsidR="002A5E81" w:rsidRPr="00A55625">
        <w:t>Unfortunately, in 2024 there were only 2,042 units constructed (according to HUD statistics</w:t>
      </w:r>
      <w:r w:rsidR="00EB4238" w:rsidRPr="00A55625">
        <w:t>)</w:t>
      </w:r>
      <w:r w:rsidR="002A5E81" w:rsidRPr="00A55625">
        <w:t>.</w:t>
      </w:r>
      <w:r w:rsidR="00EB4238" w:rsidRPr="00A55625">
        <w:t xml:space="preserve"> And</w:t>
      </w:r>
      <w:r w:rsidR="00EB4238">
        <w:t xml:space="preserve"> thus far in 2025, only 807 units have been built, 5.5% behind </w:t>
      </w:r>
      <w:r w:rsidR="00A55625">
        <w:t xml:space="preserve">the same </w:t>
      </w:r>
      <w:r w:rsidR="00EB4238">
        <w:t>point in 2024.</w:t>
      </w:r>
      <w:r w:rsidR="002A5E81">
        <w:t xml:space="preserve"> </w:t>
      </w:r>
    </w:p>
    <w:p w14:paraId="60762BA5" w14:textId="77777777" w:rsidR="008C345B" w:rsidRDefault="008C345B" w:rsidP="00D46FAC"/>
    <w:p w14:paraId="550827F1" w14:textId="601F2F90" w:rsidR="00E65D35" w:rsidRDefault="007C3421" w:rsidP="003244DA">
      <w:pPr>
        <w:ind w:right="-180"/>
      </w:pPr>
      <w:r>
        <w:t>A</w:t>
      </w:r>
      <w:r w:rsidR="003244DA">
        <w:t xml:space="preserve">s we have been highlighting for </w:t>
      </w:r>
      <w:r w:rsidR="003244DA" w:rsidRPr="0096573C">
        <w:rPr>
          <w:i/>
          <w:iCs/>
          <w:u w:val="single"/>
        </w:rPr>
        <w:t>several years</w:t>
      </w:r>
      <w:r w:rsidR="003244DA">
        <w:t xml:space="preserve">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4F4D5B">
        <w:t>tough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p w14:paraId="4E012A29" w14:textId="0B16D8C7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 w:rsidR="00166452">
        <w:t>.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tbl>
      <w:tblPr>
        <w:tblpPr w:leftFromText="187" w:rightFromText="360" w:topFromText="202" w:bottomFromText="288" w:vertAnchor="text" w:horzAnchor="margin" w:tblpY="12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992"/>
      </w:tblGrid>
      <w:tr w:rsidR="008C345B" w:rsidRPr="00DE1D23" w14:paraId="5885004C" w14:textId="77777777" w:rsidTr="008B0C8D">
        <w:trPr>
          <w:trHeight w:val="36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EB28" w14:textId="131120A1" w:rsidR="008C345B" w:rsidRPr="00430E07" w:rsidRDefault="008C345B" w:rsidP="008B0C8D">
            <w:pPr>
              <w:spacing w:line="252" w:lineRule="auto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1F1F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9B1B42" w:rsidRPr="00D42F01">
              <w:rPr>
                <w:rFonts w:ascii="Arial" w:eastAsia="Calibri" w:hAnsi="Arial" w:cs="Arial"/>
                <w:b/>
                <w:bCs/>
                <w:sz w:val="22"/>
              </w:rPr>
              <w:t>2</w:t>
            </w:r>
            <w:r w:rsidR="009B1B42" w:rsidRPr="00D42F01">
              <w:rPr>
                <w:rFonts w:ascii="Arial" w:eastAsia="Calibri" w:hAnsi="Arial" w:cs="Arial"/>
                <w:b/>
                <w:bCs/>
                <w:sz w:val="22"/>
                <w:vertAlign w:val="superscript"/>
              </w:rPr>
              <w:t>nd</w:t>
            </w:r>
            <w:r w:rsidR="00D42F01">
              <w:rPr>
                <w:rFonts w:ascii="Arial" w:eastAsia="Calibri" w:hAnsi="Arial" w:cs="Arial"/>
                <w:b/>
                <w:bCs/>
                <w:sz w:val="22"/>
              </w:rPr>
              <w:t xml:space="preserve"> </w:t>
            </w:r>
            <w:r w:rsidRPr="00D42F01">
              <w:rPr>
                <w:rFonts w:ascii="Arial" w:eastAsia="Calibri" w:hAnsi="Arial" w:cs="Arial"/>
                <w:b/>
                <w:bCs/>
                <w:sz w:val="22"/>
              </w:rPr>
              <w:t>Quarter</w:t>
            </w:r>
            <w:r w:rsidRPr="00D42F01">
              <w:rPr>
                <w:rFonts w:ascii="Arial" w:eastAsia="Calibri" w:hAnsi="Arial" w:cs="Arial"/>
                <w:b/>
                <w:sz w:val="22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 w:rsidR="00D42F01">
              <w:rPr>
                <w:rFonts w:ascii="Arial" w:eastAsia="Calibri" w:hAnsi="Arial" w:cs="Arial"/>
                <w:bCs/>
                <w:sz w:val="18"/>
                <w:szCs w:val="18"/>
              </w:rPr>
              <w:t>J</w:t>
            </w:r>
            <w:r w:rsidR="00D42F01">
              <w:rPr>
                <w:rFonts w:ascii="Arial" w:eastAsia="Calibri" w:hAnsi="Arial" w:cs="Arial"/>
                <w:sz w:val="18"/>
                <w:szCs w:val="18"/>
              </w:rPr>
              <w:t>un 30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</w:p>
        </w:tc>
      </w:tr>
      <w:tr w:rsidR="008C345B" w:rsidRPr="00DE1D23" w14:paraId="0DAF3846" w14:textId="77777777" w:rsidTr="008B0C8D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0169483E" w14:textId="77777777" w:rsidR="008C345B" w:rsidRPr="00DE1D23" w:rsidRDefault="008C345B" w:rsidP="008B0C8D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3D4" w14:textId="5F8EBB2B" w:rsidR="008C345B" w:rsidRPr="00DE1D23" w:rsidRDefault="008C345B" w:rsidP="008B0C8D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436C" w14:textId="3DE929EE" w:rsidR="008C345B" w:rsidRPr="00DE1D23" w:rsidRDefault="008C345B" w:rsidP="008B0C8D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9F28D2">
              <w:rPr>
                <w:rFonts w:ascii="Arial" w:eastAsia="Calibri" w:hAnsi="Arial" w:cs="Arial"/>
                <w:color w:val="FFFFFF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79F36F81" w14:textId="77777777" w:rsidR="008C345B" w:rsidRPr="00DE1D23" w:rsidRDefault="008C345B" w:rsidP="008B0C8D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B09AFF0" w14:textId="77777777" w:rsidR="008C345B" w:rsidRPr="00DE1D23" w:rsidRDefault="008C345B" w:rsidP="008B0C8D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C960B7" w:rsidRPr="00DE1D23" w14:paraId="478622E0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7DBE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B139" w14:textId="175479D8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$288,132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B152" w14:textId="282C20AE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$316,595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79EB" w14:textId="4B3850AF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$28,463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A121F" w14:textId="4A7C341F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9.9%</w:t>
            </w:r>
          </w:p>
        </w:tc>
      </w:tr>
      <w:tr w:rsidR="00C960B7" w:rsidRPr="00DE1D23" w14:paraId="22F88E46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CFB3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0E8B" w14:textId="1ED31FF9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$512,317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E8E7" w14:textId="3FEE75E6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$551,298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E1EA9E0" w14:textId="19E86E58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$38,981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967ECE9" w14:textId="04DDDAB9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7.6%</w:t>
            </w:r>
          </w:p>
        </w:tc>
      </w:tr>
      <w:tr w:rsidR="00C960B7" w:rsidRPr="00DE1D23" w14:paraId="4E38B3AE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CF00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F5FC" w14:textId="247E5865" w:rsidR="00C960B7" w:rsidRPr="00BD2F20" w:rsidRDefault="00C960B7" w:rsidP="00C960B7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DA3334">
              <w:t xml:space="preserve"> $532,951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AD39" w14:textId="3A2DC55B" w:rsidR="00C960B7" w:rsidRPr="00BD2F20" w:rsidRDefault="00C960B7" w:rsidP="00C960B7">
            <w:pPr>
              <w:spacing w:line="252" w:lineRule="auto"/>
              <w:ind w:left="-93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$545,130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E3407" w14:textId="4E1C99E3" w:rsidR="00C960B7" w:rsidRPr="00BD2F20" w:rsidRDefault="00C960B7" w:rsidP="00C960B7">
            <w:pPr>
              <w:spacing w:line="252" w:lineRule="auto"/>
              <w:ind w:left="88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 xml:space="preserve"> $12,179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2EE5F5" w14:textId="3A487986" w:rsidR="00C960B7" w:rsidRPr="00BD2F20" w:rsidRDefault="00C960B7" w:rsidP="00C960B7">
            <w:pPr>
              <w:spacing w:line="252" w:lineRule="auto"/>
              <w:ind w:left="88"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>2.3%</w:t>
            </w:r>
          </w:p>
        </w:tc>
      </w:tr>
      <w:tr w:rsidR="00C960B7" w:rsidRPr="00DE1D23" w14:paraId="63C3992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595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0A23" w14:textId="1E11D25E" w:rsidR="00C960B7" w:rsidRPr="00E636E6" w:rsidRDefault="00C960B7" w:rsidP="00C960B7">
            <w:pPr>
              <w:spacing w:line="252" w:lineRule="auto"/>
              <w:ind w:left="88" w:right="-14"/>
              <w:contextualSpacing w:val="0"/>
              <w:rPr>
                <w:rFonts w:eastAsia="Calibri" w:cs="Arial"/>
                <w:szCs w:val="21"/>
              </w:rPr>
            </w:pPr>
            <w:r w:rsidRPr="00DA3334">
              <w:t xml:space="preserve"> $402,999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E7F" w14:textId="08F914DF" w:rsidR="00C960B7" w:rsidRPr="00E636E6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F97D9A">
              <w:t xml:space="preserve"> $417,268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4E9774D" w14:textId="096ADE47" w:rsidR="00C960B7" w:rsidRPr="00E636E6" w:rsidRDefault="00C960B7" w:rsidP="00C960B7">
            <w:pPr>
              <w:spacing w:line="252" w:lineRule="auto"/>
              <w:ind w:left="94" w:right="18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 xml:space="preserve"> $14,269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B92A4A9" w14:textId="63DE000A" w:rsidR="00C960B7" w:rsidRPr="00E636E6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eastAsia="Calibri" w:cs="Arial"/>
                <w:szCs w:val="21"/>
              </w:rPr>
            </w:pPr>
            <w:r w:rsidRPr="00891801">
              <w:t>3.5%</w:t>
            </w:r>
          </w:p>
        </w:tc>
      </w:tr>
      <w:tr w:rsidR="00C960B7" w:rsidRPr="00DE1D23" w14:paraId="72C01478" w14:textId="77777777" w:rsidTr="008B0C8D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11A8" w14:textId="77777777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457B" w14:textId="2CC0120D" w:rsidR="00C960B7" w:rsidRPr="00DE1D23" w:rsidRDefault="00C960B7" w:rsidP="00C960B7">
            <w:pPr>
              <w:spacing w:line="252" w:lineRule="auto"/>
              <w:ind w:left="43" w:right="-14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A3334">
              <w:t xml:space="preserve"> $434,100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54A" w14:textId="56A25633" w:rsidR="00C960B7" w:rsidRPr="004F2090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F97D9A">
              <w:t xml:space="preserve"> $457,573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1E45" w14:textId="56B46CF4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 xml:space="preserve"> $23,473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90169B" w14:textId="62C4A701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91801">
              <w:t>5.4%</w:t>
            </w:r>
          </w:p>
        </w:tc>
      </w:tr>
      <w:tr w:rsidR="00C960B7" w:rsidRPr="00DE1D23" w14:paraId="5EE9AD65" w14:textId="77777777" w:rsidTr="008B0C8D">
        <w:trPr>
          <w:trHeight w:val="90"/>
        </w:trPr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2978" w14:textId="77777777" w:rsidR="00C960B7" w:rsidRPr="00430E07" w:rsidRDefault="00C960B7" w:rsidP="00C960B7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C960B7" w:rsidRPr="00DE1D23" w14:paraId="7FB0D235" w14:textId="77777777" w:rsidTr="008B0C8D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DC80" w14:textId="1713C009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Sheboygan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80D" w14:textId="5EF3BABB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$321,465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147C" w14:textId="35D5FA21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$329,371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5CA1E" w14:textId="60C4F8E0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$7,906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7980C" w14:textId="7F8C85AF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2.5%</w:t>
            </w:r>
          </w:p>
        </w:tc>
      </w:tr>
      <w:tr w:rsidR="00C960B7" w:rsidRPr="00DE1D23" w14:paraId="0D6DA120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30E4" w14:textId="7027ACEA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7B90" w14:textId="474F761E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$311,560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09E4" w14:textId="6CE9A099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$325,761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067413" w14:textId="4CF18262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$14,201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9FEDAC" w14:textId="6823D486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4.6%</w:t>
            </w:r>
          </w:p>
        </w:tc>
      </w:tr>
      <w:tr w:rsidR="00C960B7" w:rsidRPr="00DE1D23" w14:paraId="430E1F89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0099" w14:textId="2656D864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B5C" w14:textId="4E73431A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$333,108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80BA" w14:textId="59C2FAE7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$339,535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4445" w14:textId="419CFA3D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$6,427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D1011" w14:textId="3E38BCAB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1.9%</w:t>
            </w:r>
          </w:p>
        </w:tc>
      </w:tr>
      <w:tr w:rsidR="00C960B7" w:rsidRPr="00DE1D23" w14:paraId="47DC6073" w14:textId="77777777" w:rsidTr="00C960B7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FED" w14:textId="0252C13A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D2D1" w14:textId="36E20CFE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$523,693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CDA" w14:textId="28204A5C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$574,628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ADA143" w14:textId="21AAC30A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$50,935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4107EC7" w14:textId="2F092516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9.7%</w:t>
            </w:r>
          </w:p>
        </w:tc>
      </w:tr>
      <w:tr w:rsidR="00C960B7" w:rsidRPr="00DE1D23" w14:paraId="6E210F2F" w14:textId="77777777" w:rsidTr="00C960B7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41A3" w14:textId="6AC72D04" w:rsidR="00C960B7" w:rsidRPr="00DE1D23" w:rsidRDefault="00C960B7" w:rsidP="00C960B7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D6DE" w14:textId="1919503B" w:rsidR="00C960B7" w:rsidRPr="00DE1D23" w:rsidRDefault="00C960B7" w:rsidP="00C960B7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312FB9">
              <w:t xml:space="preserve"> $460,889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D584" w14:textId="79D1681C" w:rsidR="00C960B7" w:rsidRPr="00430E07" w:rsidRDefault="00C960B7" w:rsidP="00C960B7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83685D">
              <w:t xml:space="preserve"> $485,655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251C" w14:textId="0CE0774A" w:rsidR="00C960B7" w:rsidRPr="00DE1D23" w:rsidRDefault="00C960B7" w:rsidP="00C960B7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 xml:space="preserve"> $24,766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7C30" w14:textId="1A4D1180" w:rsidR="00C960B7" w:rsidRPr="00DE1D23" w:rsidRDefault="00C960B7" w:rsidP="00C960B7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77818">
              <w:t>5.4%</w:t>
            </w:r>
          </w:p>
        </w:tc>
      </w:tr>
    </w:tbl>
    <w:p w14:paraId="3580E905" w14:textId="77777777" w:rsidR="002920FB" w:rsidRDefault="002920FB" w:rsidP="003244DA"/>
    <w:p w14:paraId="552448E6" w14:textId="3DCEC3AB" w:rsidR="003244DA" w:rsidRDefault="003244DA" w:rsidP="003244DA">
      <w:r>
        <w:t>Th</w:t>
      </w:r>
      <w:r w:rsidR="004D52E3">
        <w:t>is</w:t>
      </w:r>
      <w:r>
        <w:t xml:space="preserve"> will result in problems decades down the road when families do not have enough home equity to tap into for college expenses, to remodel their home, or for emergencies. </w:t>
      </w:r>
    </w:p>
    <w:p w14:paraId="72D704CD" w14:textId="3DE02050" w:rsidR="00BE4F46" w:rsidRDefault="00BE4F46">
      <w:pPr>
        <w:spacing w:after="160" w:line="259" w:lineRule="auto"/>
        <w:contextualSpacing w:val="0"/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3BB29545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</w:t>
      </w:r>
      <w:r w:rsidR="00EC6CB8">
        <w:t>,</w:t>
      </w:r>
      <w:r w:rsidRPr="00627017">
        <w:t xml:space="preserve">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362942C" w:rsidR="00722A43" w:rsidRDefault="00482F01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DB354C" wp14:editId="3B3E52BF">
            <wp:extent cx="5645432" cy="3269685"/>
            <wp:effectExtent l="0" t="0" r="12700" b="6985"/>
            <wp:docPr id="10090125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F4A5C5C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9B1B42">
        <w:rPr>
          <w:rStyle w:val="NormalCalloutText"/>
        </w:rPr>
        <w:t>June</w:t>
      </w:r>
      <w:r w:rsidR="0060287B" w:rsidRPr="00F84C72">
        <w:rPr>
          <w:rStyle w:val="NormalCalloutText"/>
        </w:rPr>
        <w:t xml:space="preserve"> was </w:t>
      </w:r>
      <w:r w:rsidR="00482F01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482F01">
        <w:rPr>
          <w:rStyle w:val="NormalCalloutText"/>
        </w:rPr>
        <w:t>2</w:t>
      </w:r>
      <w:r w:rsidR="0060287B" w:rsidRPr="00F84C72">
        <w:rPr>
          <w:rStyle w:val="NormalCalloutText"/>
        </w:rPr>
        <w:t xml:space="preserve"> month</w:t>
      </w:r>
      <w:r w:rsidR="00BD2F20">
        <w:rPr>
          <w:rStyle w:val="NormalCalloutText"/>
        </w:rPr>
        <w:t>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C960B7">
        <w:rPr>
          <w:b/>
          <w:bCs/>
          <w:color w:val="203058"/>
        </w:rPr>
        <w:t>3</w:t>
      </w:r>
      <w:r w:rsidR="00160B50">
        <w:rPr>
          <w:b/>
          <w:bCs/>
          <w:color w:val="203058"/>
        </w:rPr>
        <w:t>,</w:t>
      </w:r>
      <w:r w:rsidR="00C960B7">
        <w:rPr>
          <w:b/>
          <w:bCs/>
          <w:color w:val="203058"/>
        </w:rPr>
        <w:t>477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C960B7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C960B7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4393910C" w:rsidR="00FE2AA3" w:rsidRDefault="00482F01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0F305633" wp14:editId="00A21253">
            <wp:extent cx="5605074" cy="3040098"/>
            <wp:effectExtent l="0" t="0" r="15240" b="8255"/>
            <wp:docPr id="15727465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7D34D3C4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C960B7">
        <w:t>4,443</w:t>
      </w:r>
      <w:r w:rsidRPr="00E65D35">
        <w:t xml:space="preserve"> current listings providing </w:t>
      </w:r>
      <w:r w:rsidR="00C960B7">
        <w:t>3</w:t>
      </w:r>
      <w:r w:rsidR="00E65D35" w:rsidRPr="00E65D35">
        <w:t>.</w:t>
      </w:r>
      <w:r w:rsidR="00C960B7">
        <w:t>2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C960B7">
        <w:rPr>
          <w:rStyle w:val="NormalCalloutText"/>
        </w:rPr>
        <w:t>3</w:t>
      </w:r>
      <w:r w:rsidRPr="00F84C72">
        <w:rPr>
          <w:rStyle w:val="NormalCalloutText"/>
        </w:rPr>
        <w:t>,</w:t>
      </w:r>
      <w:r w:rsidR="00BD2F20">
        <w:rPr>
          <w:rStyle w:val="NormalCalloutText"/>
        </w:rPr>
        <w:t>9</w:t>
      </w:r>
      <w:r w:rsidR="00C960B7">
        <w:rPr>
          <w:rStyle w:val="NormalCalloutText"/>
        </w:rPr>
        <w:t>1</w:t>
      </w:r>
      <w:r w:rsidR="00BE4F46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20F7506E" w:rsidR="00A5422D" w:rsidRDefault="00482F01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AD53EFD" wp14:editId="33163324">
            <wp:extent cx="5943600" cy="3657600"/>
            <wp:effectExtent l="0" t="0" r="0" b="0"/>
            <wp:docPr id="18104153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2803E7C9" w:rsidR="006146B0" w:rsidRDefault="00482F01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DFD805" wp14:editId="373A52E1">
            <wp:extent cx="5943600" cy="3657600"/>
            <wp:effectExtent l="0" t="0" r="0" b="0"/>
            <wp:docPr id="20858472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ADDBEC-E08F-4681-91E5-2EA9C1AC0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6F4749" w14:textId="096DEE02" w:rsidR="00D848BE" w:rsidRPr="00082AAF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82F01">
        <w:rPr>
          <w:noProof/>
        </w:rPr>
        <w:lastRenderedPageBreak/>
        <w:drawing>
          <wp:inline distT="0" distB="0" distL="0" distR="0" wp14:anchorId="59507FCB" wp14:editId="0981EA4A">
            <wp:extent cx="5943600" cy="3654425"/>
            <wp:effectExtent l="0" t="0" r="0" b="3175"/>
            <wp:docPr id="15685435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8699B4-E153-44A6-9798-DBFF7F51D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848BE" w:rsidRPr="00082AAF" w:rsidSect="00A542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797A" w14:textId="77777777" w:rsidR="00FB26C9" w:rsidRDefault="00FB26C9" w:rsidP="003B327A">
      <w:r>
        <w:separator/>
      </w:r>
    </w:p>
  </w:endnote>
  <w:endnote w:type="continuationSeparator" w:id="0">
    <w:p w14:paraId="3F6092DC" w14:textId="77777777" w:rsidR="00FB26C9" w:rsidRDefault="00FB26C9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59D7" w14:textId="77777777" w:rsidR="00FB26C9" w:rsidRDefault="00FB26C9" w:rsidP="003B327A">
      <w:r>
        <w:separator/>
      </w:r>
    </w:p>
  </w:footnote>
  <w:footnote w:type="continuationSeparator" w:id="0">
    <w:p w14:paraId="1606FE2C" w14:textId="77777777" w:rsidR="00FB26C9" w:rsidRDefault="00FB26C9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3760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B7E8B"/>
    <w:rsid w:val="000C0358"/>
    <w:rsid w:val="000C5D86"/>
    <w:rsid w:val="000D0E85"/>
    <w:rsid w:val="000E0548"/>
    <w:rsid w:val="000E14E4"/>
    <w:rsid w:val="000E4CD9"/>
    <w:rsid w:val="000E646C"/>
    <w:rsid w:val="000E6502"/>
    <w:rsid w:val="000F21F9"/>
    <w:rsid w:val="0010266B"/>
    <w:rsid w:val="00105A82"/>
    <w:rsid w:val="00107E28"/>
    <w:rsid w:val="001104B3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1841"/>
    <w:rsid w:val="001530AA"/>
    <w:rsid w:val="00153E0D"/>
    <w:rsid w:val="00156337"/>
    <w:rsid w:val="00157115"/>
    <w:rsid w:val="00160B50"/>
    <w:rsid w:val="0016242D"/>
    <w:rsid w:val="00162A57"/>
    <w:rsid w:val="00166452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3C62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E101E"/>
    <w:rsid w:val="001F0911"/>
    <w:rsid w:val="001F1FB1"/>
    <w:rsid w:val="001F245E"/>
    <w:rsid w:val="001F5CBD"/>
    <w:rsid w:val="001F7017"/>
    <w:rsid w:val="00205183"/>
    <w:rsid w:val="0020568A"/>
    <w:rsid w:val="00207323"/>
    <w:rsid w:val="002114BD"/>
    <w:rsid w:val="00211BC4"/>
    <w:rsid w:val="00214D42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54F9F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5E81"/>
    <w:rsid w:val="002A6B1C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6BA5"/>
    <w:rsid w:val="00377E8C"/>
    <w:rsid w:val="00377E9E"/>
    <w:rsid w:val="00380FF7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E46BA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04E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A20"/>
    <w:rsid w:val="00465F52"/>
    <w:rsid w:val="00470AB1"/>
    <w:rsid w:val="0047433E"/>
    <w:rsid w:val="00474ECB"/>
    <w:rsid w:val="00476AA0"/>
    <w:rsid w:val="00481980"/>
    <w:rsid w:val="00482F01"/>
    <w:rsid w:val="0048406D"/>
    <w:rsid w:val="0049421B"/>
    <w:rsid w:val="004A1A6C"/>
    <w:rsid w:val="004A5A2A"/>
    <w:rsid w:val="004A5FC1"/>
    <w:rsid w:val="004B1439"/>
    <w:rsid w:val="004B1C64"/>
    <w:rsid w:val="004B2A09"/>
    <w:rsid w:val="004B2A93"/>
    <w:rsid w:val="004C7E31"/>
    <w:rsid w:val="004D52E3"/>
    <w:rsid w:val="004E6698"/>
    <w:rsid w:val="004E6E55"/>
    <w:rsid w:val="004E7EEF"/>
    <w:rsid w:val="004F08C0"/>
    <w:rsid w:val="004F2090"/>
    <w:rsid w:val="004F4D5B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803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A167E"/>
    <w:rsid w:val="005B5396"/>
    <w:rsid w:val="005C1A84"/>
    <w:rsid w:val="005C25E4"/>
    <w:rsid w:val="005C3BB5"/>
    <w:rsid w:val="005C4AF7"/>
    <w:rsid w:val="005C581B"/>
    <w:rsid w:val="005C5E3F"/>
    <w:rsid w:val="005C65B2"/>
    <w:rsid w:val="005D0C58"/>
    <w:rsid w:val="005D4112"/>
    <w:rsid w:val="005D6400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42B"/>
    <w:rsid w:val="006416AF"/>
    <w:rsid w:val="006459E3"/>
    <w:rsid w:val="00645AD0"/>
    <w:rsid w:val="0065300F"/>
    <w:rsid w:val="00654B2A"/>
    <w:rsid w:val="00656C73"/>
    <w:rsid w:val="00657358"/>
    <w:rsid w:val="00657D2E"/>
    <w:rsid w:val="00662485"/>
    <w:rsid w:val="006626BD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3772"/>
    <w:rsid w:val="006D54A8"/>
    <w:rsid w:val="006D6799"/>
    <w:rsid w:val="006E0511"/>
    <w:rsid w:val="006E0DB1"/>
    <w:rsid w:val="006E60DF"/>
    <w:rsid w:val="006F7E40"/>
    <w:rsid w:val="00701269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37429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0AA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D4724"/>
    <w:rsid w:val="007E0B53"/>
    <w:rsid w:val="007E15E0"/>
    <w:rsid w:val="007E44AB"/>
    <w:rsid w:val="007E5323"/>
    <w:rsid w:val="007F6B5D"/>
    <w:rsid w:val="00800766"/>
    <w:rsid w:val="0080131C"/>
    <w:rsid w:val="00805843"/>
    <w:rsid w:val="00805CC5"/>
    <w:rsid w:val="0080655E"/>
    <w:rsid w:val="008107AA"/>
    <w:rsid w:val="00813045"/>
    <w:rsid w:val="008130DA"/>
    <w:rsid w:val="00815481"/>
    <w:rsid w:val="00815BC2"/>
    <w:rsid w:val="0081666B"/>
    <w:rsid w:val="00817377"/>
    <w:rsid w:val="00822622"/>
    <w:rsid w:val="00831E2B"/>
    <w:rsid w:val="00832D28"/>
    <w:rsid w:val="0083681A"/>
    <w:rsid w:val="00847102"/>
    <w:rsid w:val="00853C6E"/>
    <w:rsid w:val="00857CA5"/>
    <w:rsid w:val="00867510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345B"/>
    <w:rsid w:val="008C6F6A"/>
    <w:rsid w:val="008D024B"/>
    <w:rsid w:val="008D2730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623"/>
    <w:rsid w:val="00956B75"/>
    <w:rsid w:val="00957AA6"/>
    <w:rsid w:val="00960659"/>
    <w:rsid w:val="00961059"/>
    <w:rsid w:val="00963F94"/>
    <w:rsid w:val="00965378"/>
    <w:rsid w:val="0096573C"/>
    <w:rsid w:val="00966533"/>
    <w:rsid w:val="0096778F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1B42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9F23EF"/>
    <w:rsid w:val="009F28D2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59A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554A1"/>
    <w:rsid w:val="00A55625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A29A8"/>
    <w:rsid w:val="00AB0545"/>
    <w:rsid w:val="00AB1D2A"/>
    <w:rsid w:val="00AB30DB"/>
    <w:rsid w:val="00AC28D6"/>
    <w:rsid w:val="00AC3065"/>
    <w:rsid w:val="00AC4C87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276C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347C2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5302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0F21"/>
    <w:rsid w:val="00BD2974"/>
    <w:rsid w:val="00BD2F20"/>
    <w:rsid w:val="00BD363D"/>
    <w:rsid w:val="00BD5FEE"/>
    <w:rsid w:val="00BD6EF6"/>
    <w:rsid w:val="00BD7E94"/>
    <w:rsid w:val="00BE0E5A"/>
    <w:rsid w:val="00BE4F46"/>
    <w:rsid w:val="00BF05EC"/>
    <w:rsid w:val="00BF0DA5"/>
    <w:rsid w:val="00BF155E"/>
    <w:rsid w:val="00BF2D61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37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960B7"/>
    <w:rsid w:val="00CA4DB0"/>
    <w:rsid w:val="00CA5627"/>
    <w:rsid w:val="00CB0036"/>
    <w:rsid w:val="00CC1EAA"/>
    <w:rsid w:val="00CC316C"/>
    <w:rsid w:val="00CD08DE"/>
    <w:rsid w:val="00CD19F7"/>
    <w:rsid w:val="00CD4658"/>
    <w:rsid w:val="00CD523F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0441"/>
    <w:rsid w:val="00D215B6"/>
    <w:rsid w:val="00D27B49"/>
    <w:rsid w:val="00D31E52"/>
    <w:rsid w:val="00D33806"/>
    <w:rsid w:val="00D34058"/>
    <w:rsid w:val="00D36A48"/>
    <w:rsid w:val="00D42F01"/>
    <w:rsid w:val="00D4300F"/>
    <w:rsid w:val="00D432FD"/>
    <w:rsid w:val="00D465C9"/>
    <w:rsid w:val="00D46FAC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48BE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27F"/>
    <w:rsid w:val="00E578C4"/>
    <w:rsid w:val="00E636E6"/>
    <w:rsid w:val="00E6481D"/>
    <w:rsid w:val="00E64AEC"/>
    <w:rsid w:val="00E65D35"/>
    <w:rsid w:val="00E7187F"/>
    <w:rsid w:val="00E72019"/>
    <w:rsid w:val="00E72902"/>
    <w:rsid w:val="00E739D4"/>
    <w:rsid w:val="00E749C3"/>
    <w:rsid w:val="00E7590D"/>
    <w:rsid w:val="00E8190F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238"/>
    <w:rsid w:val="00EB49AC"/>
    <w:rsid w:val="00EB4B61"/>
    <w:rsid w:val="00EB6DC0"/>
    <w:rsid w:val="00EC22D0"/>
    <w:rsid w:val="00EC23F2"/>
    <w:rsid w:val="00EC2A4F"/>
    <w:rsid w:val="00EC6CB8"/>
    <w:rsid w:val="00EC789A"/>
    <w:rsid w:val="00ED0B05"/>
    <w:rsid w:val="00ED27FC"/>
    <w:rsid w:val="00EE26A4"/>
    <w:rsid w:val="00EE505B"/>
    <w:rsid w:val="00EE6F6F"/>
    <w:rsid w:val="00F01A99"/>
    <w:rsid w:val="00F024C3"/>
    <w:rsid w:val="00F03600"/>
    <w:rsid w:val="00F06772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8DC"/>
    <w:rsid w:val="00F41BD7"/>
    <w:rsid w:val="00F41EBA"/>
    <w:rsid w:val="00F43485"/>
    <w:rsid w:val="00F4702E"/>
    <w:rsid w:val="00F47C51"/>
    <w:rsid w:val="00F51A3F"/>
    <w:rsid w:val="00F5351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26C9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2458</c:v>
                </c:pt>
                <c:pt idx="1">
                  <c:v>2945</c:v>
                </c:pt>
                <c:pt idx="2">
                  <c:v>3062</c:v>
                </c:pt>
                <c:pt idx="3">
                  <c:v>3074</c:v>
                </c:pt>
                <c:pt idx="4">
                  <c:v>2845</c:v>
                </c:pt>
                <c:pt idx="5">
                  <c:v>2408</c:v>
                </c:pt>
                <c:pt idx="6">
                  <c:v>2200</c:v>
                </c:pt>
                <c:pt idx="7">
                  <c:v>1995</c:v>
                </c:pt>
                <c:pt idx="8">
                  <c:v>2119</c:v>
                </c:pt>
                <c:pt idx="9">
                  <c:v>2012</c:v>
                </c:pt>
                <c:pt idx="10">
                  <c:v>2518</c:v>
                </c:pt>
                <c:pt idx="11">
                  <c:v>2920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FC-4BA1-A9AC-2A5CD3A0BDC1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1516</c:v>
                </c:pt>
                <c:pt idx="1">
                  <c:v>1401</c:v>
                </c:pt>
                <c:pt idx="2">
                  <c:v>1373</c:v>
                </c:pt>
                <c:pt idx="3">
                  <c:v>1368</c:v>
                </c:pt>
                <c:pt idx="4">
                  <c:v>1065</c:v>
                </c:pt>
                <c:pt idx="5">
                  <c:v>802</c:v>
                </c:pt>
                <c:pt idx="6">
                  <c:v>1027</c:v>
                </c:pt>
                <c:pt idx="7">
                  <c:v>1177</c:v>
                </c:pt>
                <c:pt idx="8">
                  <c:v>1392</c:v>
                </c:pt>
                <c:pt idx="9">
                  <c:v>1737</c:v>
                </c:pt>
                <c:pt idx="10">
                  <c:v>1762</c:v>
                </c:pt>
                <c:pt idx="11">
                  <c:v>1523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FC-4BA1-A9AC-2A5CD3A0B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2.9</c:v>
                </c:pt>
                <c:pt idx="1">
                  <c:v>3.1</c:v>
                </c:pt>
                <c:pt idx="2">
                  <c:v>3.2</c:v>
                </c:pt>
                <c:pt idx="3">
                  <c:v>3.2</c:v>
                </c:pt>
                <c:pt idx="4">
                  <c:v>2.8</c:v>
                </c:pt>
                <c:pt idx="5">
                  <c:v>2.2999999999999998</c:v>
                </c:pt>
                <c:pt idx="6">
                  <c:v>2.2999999999999998</c:v>
                </c:pt>
                <c:pt idx="7">
                  <c:v>2.2999999999999998</c:v>
                </c:pt>
                <c:pt idx="8">
                  <c:v>2.5</c:v>
                </c:pt>
                <c:pt idx="9">
                  <c:v>2.7</c:v>
                </c:pt>
                <c:pt idx="10">
                  <c:v>3.1</c:v>
                </c:pt>
                <c:pt idx="11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FC-4BA1-A9AC-2A5CD3A0BDC1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Sept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April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1.4</c:v>
                </c:pt>
                <c:pt idx="2">
                  <c:v>1.6</c:v>
                </c:pt>
                <c:pt idx="3">
                  <c:v>1.6</c:v>
                </c:pt>
                <c:pt idx="4">
                  <c:v>1.4</c:v>
                </c:pt>
                <c:pt idx="5">
                  <c:v>1.2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1.2</c:v>
                </c:pt>
                <c:pt idx="11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FC-4BA1-A9AC-2A5CD3A0B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Data'!$Q$137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Data'!$P$156:$P$167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Data'!$Q$156:$Q$167</c:f>
              <c:numCache>
                <c:formatCode>_(* #,##0_);_(* \(#,##0\);_(* "-"??_);_(@_)</c:formatCode>
                <c:ptCount val="12"/>
                <c:pt idx="0">
                  <c:v>3974</c:v>
                </c:pt>
                <c:pt idx="1">
                  <c:v>4346</c:v>
                </c:pt>
                <c:pt idx="2">
                  <c:v>4435</c:v>
                </c:pt>
                <c:pt idx="3">
                  <c:v>4442</c:v>
                </c:pt>
                <c:pt idx="4">
                  <c:v>3910</c:v>
                </c:pt>
                <c:pt idx="5">
                  <c:v>3210</c:v>
                </c:pt>
                <c:pt idx="6">
                  <c:v>3227</c:v>
                </c:pt>
                <c:pt idx="7">
                  <c:v>3172</c:v>
                </c:pt>
                <c:pt idx="8">
                  <c:v>3511</c:v>
                </c:pt>
                <c:pt idx="9">
                  <c:v>3749</c:v>
                </c:pt>
                <c:pt idx="10">
                  <c:v>4280</c:v>
                </c:pt>
                <c:pt idx="11">
                  <c:v>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E-45DF-80DF-23775B2F62FB}"/>
            </c:ext>
          </c:extLst>
        </c:ser>
        <c:ser>
          <c:idx val="3"/>
          <c:order val="1"/>
          <c:tx>
            <c:strRef>
              <c:f>'Monthly Stats Data'!$T$136:$T$137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Data'!$P$156:$P$167</c:f>
              <c:strCache>
                <c:ptCount val="12"/>
                <c:pt idx="0">
                  <c:v>Jul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  <c:pt idx="8">
                  <c:v>Mar</c:v>
                </c:pt>
                <c:pt idx="9">
                  <c:v>Apr</c:v>
                </c:pt>
                <c:pt idx="10">
                  <c:v>May</c:v>
                </c:pt>
                <c:pt idx="11">
                  <c:v>Jun</c:v>
                </c:pt>
              </c:strCache>
            </c:strRef>
          </c:cat>
          <c:val>
            <c:numRef>
              <c:f>'Monthly Stats Data'!$T$156:$T$167</c:f>
              <c:numCache>
                <c:formatCode>_(* #,##0_);_(* \(#,##0\);_(* "-"??_);_(@_)</c:formatCode>
                <c:ptCount val="12"/>
                <c:pt idx="0">
                  <c:v>4350</c:v>
                </c:pt>
                <c:pt idx="1">
                  <c:v>4025</c:v>
                </c:pt>
                <c:pt idx="2">
                  <c:v>3905</c:v>
                </c:pt>
                <c:pt idx="3">
                  <c:v>3880</c:v>
                </c:pt>
                <c:pt idx="4">
                  <c:v>4407</c:v>
                </c:pt>
                <c:pt idx="5">
                  <c:v>5100</c:v>
                </c:pt>
                <c:pt idx="6">
                  <c:v>5175</c:v>
                </c:pt>
                <c:pt idx="7">
                  <c:v>5265</c:v>
                </c:pt>
                <c:pt idx="8">
                  <c:v>4905</c:v>
                </c:pt>
                <c:pt idx="9">
                  <c:v>4635</c:v>
                </c:pt>
                <c:pt idx="10">
                  <c:v>4075</c:v>
                </c:pt>
                <c:pt idx="11">
                  <c:v>3910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BE-45DF-80DF-23775B2F6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</a:t>
            </a: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County Sale Price (2nd Qtr)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'2nd QTR County Data'!$D$167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'2nd QTR County Data'!$B$184:$B$209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'2nd QTR County Data'!$D$184:$D$209</c:f>
              <c:numCache>
                <c:formatCode>_("$"* #,##0_);_("$"* \(#,##0\);_("$"* "-"??_);_(@_)</c:formatCode>
                <c:ptCount val="26"/>
                <c:pt idx="0">
                  <c:v>175359.75</c:v>
                </c:pt>
                <c:pt idx="1">
                  <c:v>182629.5</c:v>
                </c:pt>
                <c:pt idx="2">
                  <c:v>201643.25</c:v>
                </c:pt>
                <c:pt idx="3">
                  <c:v>212221.25</c:v>
                </c:pt>
                <c:pt idx="4">
                  <c:v>229949.25</c:v>
                </c:pt>
                <c:pt idx="5">
                  <c:v>241680.75</c:v>
                </c:pt>
                <c:pt idx="6">
                  <c:v>259473</c:v>
                </c:pt>
                <c:pt idx="7">
                  <c:v>254076</c:v>
                </c:pt>
                <c:pt idx="8">
                  <c:v>248740</c:v>
                </c:pt>
                <c:pt idx="9">
                  <c:v>219373.25</c:v>
                </c:pt>
                <c:pt idx="10">
                  <c:v>222982.5</c:v>
                </c:pt>
                <c:pt idx="11">
                  <c:v>211731.75</c:v>
                </c:pt>
                <c:pt idx="12">
                  <c:v>205119.5</c:v>
                </c:pt>
                <c:pt idx="13">
                  <c:v>220649.75</c:v>
                </c:pt>
                <c:pt idx="14">
                  <c:v>219684.25</c:v>
                </c:pt>
                <c:pt idx="15">
                  <c:v>240873</c:v>
                </c:pt>
                <c:pt idx="16">
                  <c:v>247957.5</c:v>
                </c:pt>
                <c:pt idx="17">
                  <c:v>259734.5</c:v>
                </c:pt>
                <c:pt idx="18">
                  <c:v>282116.75</c:v>
                </c:pt>
                <c:pt idx="19">
                  <c:v>294098</c:v>
                </c:pt>
                <c:pt idx="20">
                  <c:v>310629.75</c:v>
                </c:pt>
                <c:pt idx="21">
                  <c:v>358601.5</c:v>
                </c:pt>
                <c:pt idx="22">
                  <c:v>392544.5</c:v>
                </c:pt>
                <c:pt idx="23">
                  <c:v>409885.25</c:v>
                </c:pt>
                <c:pt idx="24">
                  <c:v>434099.75</c:v>
                </c:pt>
                <c:pt idx="25">
                  <c:v>457572.75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D-49B8-AF6B-3DB90084DB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-61"/>
        <c:axId val="458612800"/>
        <c:axId val="458613192"/>
      </c:barChart>
      <c:catAx>
        <c:axId val="4586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3192"/>
        <c:crosses val="autoZero"/>
        <c:auto val="1"/>
        <c:lblAlgn val="ctr"/>
        <c:lblOffset val="100"/>
        <c:noMultiLvlLbl val="0"/>
      </c:catAx>
      <c:valAx>
        <c:axId val="45861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861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 County Total Sales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88900" cap="rnd">
              <a:solidFill>
                <a:srgbClr val="1F4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3A-45FA-8AF6-5F4FDC654C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Data'!$B$184:$B$209</c:f>
              <c:numCache>
                <c:formatCode>General</c:formatCode>
                <c:ptCount val="2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</c:numCache>
            </c:numRef>
          </c:cat>
          <c:val>
            <c:numRef>
              <c:f>'2nd QTR County Data'!$C$184:$C$209</c:f>
              <c:numCache>
                <c:formatCode>_(* #,##0_);_(* \(#,##0\);_(* "-"??_);_(@_)</c:formatCode>
                <c:ptCount val="26"/>
                <c:pt idx="0">
                  <c:v>7897</c:v>
                </c:pt>
                <c:pt idx="1">
                  <c:v>8254</c:v>
                </c:pt>
                <c:pt idx="2">
                  <c:v>8893</c:v>
                </c:pt>
                <c:pt idx="3">
                  <c:v>9202</c:v>
                </c:pt>
                <c:pt idx="4">
                  <c:v>9630</c:v>
                </c:pt>
                <c:pt idx="5">
                  <c:v>10282</c:v>
                </c:pt>
                <c:pt idx="6">
                  <c:v>10086</c:v>
                </c:pt>
                <c:pt idx="7">
                  <c:v>9011</c:v>
                </c:pt>
                <c:pt idx="8">
                  <c:v>6891</c:v>
                </c:pt>
                <c:pt idx="9">
                  <c:v>6444</c:v>
                </c:pt>
                <c:pt idx="10">
                  <c:v>7368</c:v>
                </c:pt>
                <c:pt idx="11">
                  <c:v>6198</c:v>
                </c:pt>
                <c:pt idx="12">
                  <c:v>7970</c:v>
                </c:pt>
                <c:pt idx="13">
                  <c:v>8839</c:v>
                </c:pt>
                <c:pt idx="14">
                  <c:v>8205</c:v>
                </c:pt>
                <c:pt idx="15">
                  <c:v>9256</c:v>
                </c:pt>
                <c:pt idx="16">
                  <c:v>9960</c:v>
                </c:pt>
                <c:pt idx="17">
                  <c:v>10220</c:v>
                </c:pt>
                <c:pt idx="18">
                  <c:v>10249</c:v>
                </c:pt>
                <c:pt idx="19">
                  <c:v>9738</c:v>
                </c:pt>
                <c:pt idx="20">
                  <c:v>9061</c:v>
                </c:pt>
                <c:pt idx="21">
                  <c:v>10449</c:v>
                </c:pt>
                <c:pt idx="22">
                  <c:v>10059</c:v>
                </c:pt>
                <c:pt idx="23">
                  <c:v>7502</c:v>
                </c:pt>
                <c:pt idx="24">
                  <c:v>7932</c:v>
                </c:pt>
                <c:pt idx="25">
                  <c:v>8061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3A-45FA-8AF6-5F4FDC654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ax val="12000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 County Listings (2nd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90-461F-B069-214E34A2D969}"/>
                </c:ext>
              </c:extLst>
            </c:dLbl>
            <c:dLbl>
              <c:idx val="10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0-461F-B069-214E34A2D969}"/>
                </c:ext>
              </c:extLst>
            </c:dLbl>
            <c:dLbl>
              <c:idx val="20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90-461F-B069-214E34A2D9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'2nd QTR County Data'!$B$186:$B$209</c:f>
              <c:numCache>
                <c:formatCode>General</c:formatCode>
                <c:ptCount val="2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  <c:extLst/>
            </c:numRef>
          </c:cat>
          <c:val>
            <c:numRef>
              <c:f>'2nd QTR County Data'!$F$186:$F$209</c:f>
              <c:numCache>
                <c:formatCode>_(* #,##0_);_(* \(#,##0\);_(* "-"??_);_(@_)</c:formatCode>
                <c:ptCount val="24"/>
                <c:pt idx="0">
                  <c:v>5616</c:v>
                </c:pt>
                <c:pt idx="1">
                  <c:v>12985</c:v>
                </c:pt>
                <c:pt idx="2">
                  <c:v>14169</c:v>
                </c:pt>
                <c:pt idx="3">
                  <c:v>17097</c:v>
                </c:pt>
                <c:pt idx="4">
                  <c:v>21036</c:v>
                </c:pt>
                <c:pt idx="5">
                  <c:v>22115</c:v>
                </c:pt>
                <c:pt idx="6">
                  <c:v>19191</c:v>
                </c:pt>
                <c:pt idx="7">
                  <c:v>17350</c:v>
                </c:pt>
                <c:pt idx="8">
                  <c:v>17790</c:v>
                </c:pt>
                <c:pt idx="9">
                  <c:v>15751</c:v>
                </c:pt>
                <c:pt idx="10">
                  <c:v>15396</c:v>
                </c:pt>
                <c:pt idx="11">
                  <c:v>14975</c:v>
                </c:pt>
                <c:pt idx="12">
                  <c:v>15770</c:v>
                </c:pt>
                <c:pt idx="13">
                  <c:v>16129</c:v>
                </c:pt>
                <c:pt idx="14">
                  <c:v>15410</c:v>
                </c:pt>
                <c:pt idx="15">
                  <c:v>15504</c:v>
                </c:pt>
                <c:pt idx="16">
                  <c:v>14404</c:v>
                </c:pt>
                <c:pt idx="17">
                  <c:v>14022</c:v>
                </c:pt>
                <c:pt idx="18">
                  <c:v>12644</c:v>
                </c:pt>
                <c:pt idx="19">
                  <c:v>14265</c:v>
                </c:pt>
                <c:pt idx="20">
                  <c:v>13068</c:v>
                </c:pt>
                <c:pt idx="21">
                  <c:v>9891</c:v>
                </c:pt>
                <c:pt idx="22">
                  <c:v>10697</c:v>
                </c:pt>
                <c:pt idx="23">
                  <c:v>11166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8D90-461F-B069-214E34A2D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24</cp:revision>
  <cp:lastPrinted>2025-04-14T19:01:00Z</cp:lastPrinted>
  <dcterms:created xsi:type="dcterms:W3CDTF">2025-04-14T00:58:00Z</dcterms:created>
  <dcterms:modified xsi:type="dcterms:W3CDTF">2025-07-14T20:06:00Z</dcterms:modified>
</cp:coreProperties>
</file>